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FD3CB" w14:textId="77777777" w:rsidR="002069DF" w:rsidRDefault="002069DF" w:rsidP="00312AED">
      <w:pPr>
        <w:pStyle w:val="KeinLeerraum"/>
        <w:jc w:val="both"/>
        <w:rPr>
          <w:sz w:val="28"/>
          <w:szCs w:val="28"/>
        </w:rPr>
      </w:pPr>
    </w:p>
    <w:p w14:paraId="200728B5" w14:textId="69FE5E98" w:rsidR="00C8028F" w:rsidRPr="002069DF" w:rsidRDefault="00C8028F" w:rsidP="002069DF">
      <w:pPr>
        <w:pStyle w:val="KeinLeerraum"/>
        <w:jc w:val="both"/>
        <w:rPr>
          <w:sz w:val="30"/>
          <w:szCs w:val="30"/>
        </w:rPr>
      </w:pPr>
      <w:r w:rsidRPr="002069DF">
        <w:rPr>
          <w:sz w:val="30"/>
          <w:szCs w:val="30"/>
        </w:rPr>
        <w:t>Orientierung zum Thema Mindestfahrpreise nach § 51a PBefG</w:t>
      </w:r>
    </w:p>
    <w:p w14:paraId="5EF7F61E" w14:textId="77777777" w:rsidR="00312AED" w:rsidRPr="00312AED" w:rsidRDefault="00312AED" w:rsidP="00312AED">
      <w:pPr>
        <w:pStyle w:val="KeinLeerraum"/>
        <w:jc w:val="both"/>
      </w:pPr>
    </w:p>
    <w:p w14:paraId="4DB178E7" w14:textId="77777777" w:rsidR="00C8028F" w:rsidRPr="005D651F" w:rsidRDefault="00C8028F" w:rsidP="00312AED">
      <w:pPr>
        <w:pStyle w:val="KeinLeerraum"/>
        <w:jc w:val="both"/>
        <w:rPr>
          <w:b/>
          <w:bCs/>
        </w:rPr>
      </w:pPr>
      <w:r w:rsidRPr="005D651F">
        <w:rPr>
          <w:b/>
          <w:bCs/>
        </w:rPr>
        <w:t>Zweck dieses Beiblatts</w:t>
      </w:r>
    </w:p>
    <w:p w14:paraId="3280380B" w14:textId="77777777" w:rsidR="00312AED" w:rsidRPr="00312AED" w:rsidRDefault="00312AED" w:rsidP="00312AED">
      <w:pPr>
        <w:pStyle w:val="KeinLeerraum"/>
        <w:jc w:val="both"/>
      </w:pPr>
    </w:p>
    <w:p w14:paraId="3AEDB6D4" w14:textId="7C803B02" w:rsidR="005D651F" w:rsidRDefault="00C8028F" w:rsidP="00312AED">
      <w:pPr>
        <w:pStyle w:val="KeinLeerraum"/>
        <w:jc w:val="both"/>
      </w:pPr>
      <w:r w:rsidRPr="00312AED">
        <w:t xml:space="preserve">Dieses </w:t>
      </w:r>
      <w:r w:rsidR="002069DF">
        <w:t>Merkblatt</w:t>
      </w:r>
      <w:r w:rsidRPr="00312AED">
        <w:t xml:space="preserve"> dient der inhaltlichen Einordnung</w:t>
      </w:r>
      <w:r w:rsidR="00312AED">
        <w:t xml:space="preserve"> der Frage von Mindestbeförderungsentgelten</w:t>
      </w:r>
      <w:r w:rsidRPr="00312AED">
        <w:t>. Es stellt keine Forderung</w:t>
      </w:r>
      <w:r w:rsidR="00312AED">
        <w:t>en</w:t>
      </w:r>
      <w:r w:rsidRPr="00312AED">
        <w:t xml:space="preserve"> </w:t>
      </w:r>
      <w:r w:rsidR="00312AED">
        <w:t>auf</w:t>
      </w:r>
      <w:r w:rsidRPr="00312AED">
        <w:t xml:space="preserve"> und ist </w:t>
      </w:r>
      <w:r w:rsidR="005D651F">
        <w:t xml:space="preserve">auch </w:t>
      </w:r>
      <w:r w:rsidRPr="00312AED">
        <w:t xml:space="preserve">kein Fragebogen. Die aufgeführten </w:t>
      </w:r>
      <w:r w:rsidR="004A2A97">
        <w:t>Argumente</w:t>
      </w:r>
      <w:r w:rsidRPr="00312AED">
        <w:t xml:space="preserve"> sollen den </w:t>
      </w:r>
      <w:r w:rsidR="005D651F">
        <w:t>befragten politischen</w:t>
      </w:r>
      <w:r w:rsidRPr="00312AED">
        <w:t xml:space="preserve"> Parteien eine sachliche Orientierung zum Themenkomplex „Mindestbeförderungsentgelte für Mietwagen“ geben. </w:t>
      </w:r>
    </w:p>
    <w:p w14:paraId="257A6A85" w14:textId="77777777" w:rsidR="005D651F" w:rsidRDefault="005D651F" w:rsidP="00312AED">
      <w:pPr>
        <w:pStyle w:val="KeinLeerraum"/>
        <w:jc w:val="both"/>
      </w:pPr>
    </w:p>
    <w:p w14:paraId="2C7804E5" w14:textId="4C8BAD0B" w:rsidR="00C8028F" w:rsidRPr="00312AED" w:rsidRDefault="00C8028F" w:rsidP="00312AED">
      <w:pPr>
        <w:pStyle w:val="KeinLeerraum"/>
        <w:jc w:val="both"/>
      </w:pPr>
      <w:r w:rsidRPr="00312AED">
        <w:t xml:space="preserve">Die Beantwortung des Anschreibens kann </w:t>
      </w:r>
      <w:r w:rsidR="00312AED">
        <w:t>völlig</w:t>
      </w:r>
      <w:r w:rsidRPr="00312AED">
        <w:t xml:space="preserve"> </w:t>
      </w:r>
      <w:r w:rsidR="00312AED">
        <w:t>ungezwungen</w:t>
      </w:r>
      <w:r w:rsidRPr="00312AED">
        <w:t xml:space="preserve"> und nach eigenen politischen Schwerpunkten erfolgen.</w:t>
      </w:r>
    </w:p>
    <w:p w14:paraId="2D82E799" w14:textId="77777777" w:rsidR="00312AED" w:rsidRDefault="00312AED" w:rsidP="00312AED">
      <w:pPr>
        <w:pStyle w:val="KeinLeerraum"/>
        <w:jc w:val="both"/>
      </w:pPr>
    </w:p>
    <w:p w14:paraId="79972C0B" w14:textId="7BF2D283" w:rsidR="00C8028F" w:rsidRPr="00312AED" w:rsidRDefault="00C8028F" w:rsidP="00312AED">
      <w:pPr>
        <w:pStyle w:val="KeinLeerraum"/>
        <w:jc w:val="both"/>
        <w:rPr>
          <w:b/>
          <w:bCs/>
        </w:rPr>
      </w:pPr>
      <w:r w:rsidRPr="00312AED">
        <w:rPr>
          <w:b/>
          <w:bCs/>
        </w:rPr>
        <w:t>Rechtlicher Rahmen (§ 51a PBefG)</w:t>
      </w:r>
    </w:p>
    <w:p w14:paraId="23E8CECE" w14:textId="77777777" w:rsidR="00BC7C79" w:rsidRDefault="00BC7C79" w:rsidP="00312AED">
      <w:pPr>
        <w:pStyle w:val="KeinLeerraum"/>
        <w:jc w:val="both"/>
      </w:pPr>
    </w:p>
    <w:p w14:paraId="1697551B" w14:textId="07069E05" w:rsidR="00312AED" w:rsidRDefault="00C8028F" w:rsidP="00312AED">
      <w:pPr>
        <w:pStyle w:val="KeinLeerraum"/>
        <w:jc w:val="both"/>
      </w:pPr>
      <w:r w:rsidRPr="00312AED">
        <w:t xml:space="preserve">§ 51a des Personenbeförderungsgesetzes eröffnet Kommunen die Möglichkeit, Mindestbeförderungsentgelte für den Gelegenheitsverkehr mit Mietwagen festzusetzen. Ziel ist </w:t>
      </w:r>
    </w:p>
    <w:p w14:paraId="0517FB23" w14:textId="77777777" w:rsidR="00312AED" w:rsidRDefault="00312AED" w:rsidP="00312AED">
      <w:pPr>
        <w:pStyle w:val="KeinLeerraum"/>
        <w:jc w:val="both"/>
      </w:pPr>
    </w:p>
    <w:p w14:paraId="0E2CFB15" w14:textId="77777777" w:rsidR="00312AED" w:rsidRPr="005D651F" w:rsidRDefault="00C8028F" w:rsidP="00312AED">
      <w:pPr>
        <w:pStyle w:val="KeinLeerraum"/>
        <w:numPr>
          <w:ilvl w:val="0"/>
          <w:numId w:val="3"/>
        </w:numPr>
        <w:jc w:val="both"/>
        <w:rPr>
          <w:b/>
          <w:bCs/>
        </w:rPr>
      </w:pPr>
      <w:r w:rsidRPr="005D651F">
        <w:rPr>
          <w:b/>
          <w:bCs/>
        </w:rPr>
        <w:t xml:space="preserve">der Schutz öffentlicher Verkehrsinteressen, </w:t>
      </w:r>
    </w:p>
    <w:p w14:paraId="69299D21" w14:textId="77777777" w:rsidR="00312AED" w:rsidRDefault="00312AED" w:rsidP="00312AED">
      <w:pPr>
        <w:pStyle w:val="KeinLeerraum"/>
        <w:jc w:val="both"/>
      </w:pPr>
    </w:p>
    <w:p w14:paraId="3781ACFD" w14:textId="2EDCADE3" w:rsidR="00C8028F" w:rsidRPr="002069DF" w:rsidRDefault="00C8028F" w:rsidP="00312AED">
      <w:pPr>
        <w:pStyle w:val="KeinLeerraum"/>
        <w:jc w:val="both"/>
      </w:pPr>
      <w:r w:rsidRPr="00312AED">
        <w:t>insbesondere die Sicherstellung eines funktionsfähigen, ordnungsgemäßen</w:t>
      </w:r>
      <w:r w:rsidR="004A2A97">
        <w:t xml:space="preserve"> </w:t>
      </w:r>
      <w:r w:rsidRPr="00312AED">
        <w:t>und fairen Wettbewerbs</w:t>
      </w:r>
      <w:r w:rsidR="002069DF">
        <w:t xml:space="preserve"> der Verkehrsformen unter Beachtung der Funktionalität des ÖPNV</w:t>
      </w:r>
      <w:r w:rsidR="002069DF" w:rsidRPr="002069DF">
        <w:t xml:space="preserve">.  </w:t>
      </w:r>
      <w:r w:rsidR="002069DF" w:rsidRPr="002069DF">
        <w:t>D</w:t>
      </w:r>
      <w:r w:rsidR="002069DF">
        <w:t xml:space="preserve">ie Aufgabe </w:t>
      </w:r>
      <w:r w:rsidR="002069DF" w:rsidRPr="002069DF">
        <w:t>des ÖPNV ist es, die Bevölkerung zuverlässig, bezahlbar und umweltfreundlich zu befördern und damit die Grundversorgung mit Mobilität sicherzustellen.</w:t>
      </w:r>
    </w:p>
    <w:p w14:paraId="7DC54440" w14:textId="77777777" w:rsidR="00312AED" w:rsidRDefault="00312AED" w:rsidP="00312AED">
      <w:pPr>
        <w:pStyle w:val="KeinLeerraum"/>
        <w:jc w:val="both"/>
      </w:pPr>
    </w:p>
    <w:p w14:paraId="2A07FE0B" w14:textId="11FBA3BD" w:rsidR="00C8028F" w:rsidRPr="00312AED" w:rsidRDefault="00C8028F" w:rsidP="00312AED">
      <w:pPr>
        <w:pStyle w:val="KeinLeerraum"/>
        <w:jc w:val="both"/>
        <w:rPr>
          <w:b/>
          <w:bCs/>
        </w:rPr>
      </w:pPr>
      <w:r w:rsidRPr="00312AED">
        <w:rPr>
          <w:b/>
          <w:bCs/>
        </w:rPr>
        <w:t>Ausgangslage im Mietwagenverkehr</w:t>
      </w:r>
    </w:p>
    <w:p w14:paraId="37869F12" w14:textId="77777777" w:rsidR="00BC7C79" w:rsidRDefault="00BC7C79" w:rsidP="00312AED">
      <w:pPr>
        <w:pStyle w:val="KeinLeerraum"/>
        <w:jc w:val="both"/>
      </w:pPr>
    </w:p>
    <w:p w14:paraId="0FA9C5B0" w14:textId="4004EB38" w:rsidR="00C8028F" w:rsidRPr="004A2A97" w:rsidRDefault="00C8028F" w:rsidP="00312AED">
      <w:pPr>
        <w:pStyle w:val="KeinLeerraum"/>
        <w:jc w:val="both"/>
        <w:rPr>
          <w:color w:val="EE0000"/>
        </w:rPr>
      </w:pPr>
      <w:r w:rsidRPr="00312AED">
        <w:t xml:space="preserve">Der Mietwagenverkehr unterliegt </w:t>
      </w:r>
      <w:r w:rsidR="004A2A97">
        <w:t>bestimmten</w:t>
      </w:r>
      <w:r w:rsidRPr="00312AED">
        <w:t xml:space="preserve"> </w:t>
      </w:r>
      <w:r w:rsidR="00312AED">
        <w:t>gesetzlichen</w:t>
      </w:r>
      <w:r w:rsidRPr="00312AED">
        <w:t xml:space="preserve"> Rahmenbedingungen, </w:t>
      </w:r>
      <w:r w:rsidR="004A2A97">
        <w:t>beispielsweise</w:t>
      </w:r>
      <w:r w:rsidRPr="00312AED">
        <w:t xml:space="preserve"> der Rückkehrpflicht zum Betriebssitz,</w:t>
      </w:r>
      <w:r w:rsidR="00312AED">
        <w:t xml:space="preserve"> der </w:t>
      </w:r>
      <w:r w:rsidR="005D651F">
        <w:t xml:space="preserve">uneingeschränkten </w:t>
      </w:r>
      <w:r w:rsidR="00312AED">
        <w:t>Preisfreiheit, der fehlenden Beförderungspflicht und anderen strukturelle</w:t>
      </w:r>
      <w:r w:rsidR="0025696F">
        <w:t>n</w:t>
      </w:r>
      <w:r w:rsidR="00312AED">
        <w:t xml:space="preserve"> Unterschiede</w:t>
      </w:r>
      <w:r w:rsidR="004A2A97">
        <w:t xml:space="preserve"> und Vorteile gegenüber dem </w:t>
      </w:r>
      <w:r w:rsidR="00312AED">
        <w:t>Taxi-Verkehr</w:t>
      </w:r>
      <w:r w:rsidRPr="00312AED">
        <w:t xml:space="preserve">. </w:t>
      </w:r>
    </w:p>
    <w:p w14:paraId="6C12B00A" w14:textId="77777777" w:rsidR="00312AED" w:rsidRDefault="00312AED" w:rsidP="00312AED">
      <w:pPr>
        <w:pStyle w:val="KeinLeerraum"/>
        <w:jc w:val="both"/>
      </w:pPr>
    </w:p>
    <w:p w14:paraId="654D0C1D" w14:textId="13D84D1B" w:rsidR="00C8028F" w:rsidRPr="00312AED" w:rsidRDefault="00C8028F" w:rsidP="00312AED">
      <w:pPr>
        <w:pStyle w:val="KeinLeerraum"/>
        <w:jc w:val="both"/>
        <w:rPr>
          <w:b/>
          <w:bCs/>
        </w:rPr>
      </w:pPr>
      <w:r w:rsidRPr="00312AED">
        <w:rPr>
          <w:b/>
          <w:bCs/>
        </w:rPr>
        <w:t>Freier Wettbewerb und ordnungsgemäße Marktbedingungen</w:t>
      </w:r>
    </w:p>
    <w:p w14:paraId="57C51A45" w14:textId="77777777" w:rsidR="00BC7C79" w:rsidRDefault="00BC7C79" w:rsidP="00312AED">
      <w:pPr>
        <w:pStyle w:val="KeinLeerraum"/>
        <w:jc w:val="both"/>
      </w:pPr>
    </w:p>
    <w:p w14:paraId="57D6A873" w14:textId="755A3D4D" w:rsidR="00C8028F" w:rsidRDefault="00C8028F" w:rsidP="00312AED">
      <w:pPr>
        <w:pStyle w:val="KeinLeerraum"/>
        <w:jc w:val="both"/>
      </w:pPr>
      <w:r w:rsidRPr="00312AED">
        <w:t xml:space="preserve">Ein funktionierender Wettbewerb setzt voraus, dass alle Marktteilnehmer unter vergleichbaren und </w:t>
      </w:r>
      <w:r w:rsidR="0025696F">
        <w:t xml:space="preserve">auch </w:t>
      </w:r>
      <w:r w:rsidRPr="00312AED">
        <w:t xml:space="preserve">rechtmäßigen </w:t>
      </w:r>
      <w:r w:rsidR="004A2A97">
        <w:t xml:space="preserve">Voraussetzungen und </w:t>
      </w:r>
      <w:r w:rsidRPr="00312AED">
        <w:t xml:space="preserve">Bedingungen </w:t>
      </w:r>
      <w:r w:rsidR="005D651F">
        <w:t xml:space="preserve">am relevanten Absatzmarkt </w:t>
      </w:r>
      <w:r w:rsidRPr="00312AED">
        <w:t>agieren</w:t>
      </w:r>
      <w:r w:rsidR="005D651F">
        <w:t xml:space="preserve"> (sogenanntes „Level-playing-field“)</w:t>
      </w:r>
      <w:r w:rsidRPr="00312AED">
        <w:t xml:space="preserve">. Aus Sicht ordnungsgemäß arbeitender Unternehmen ist es </w:t>
      </w:r>
      <w:r w:rsidR="00BC7C79">
        <w:t>unerlässlich</w:t>
      </w:r>
      <w:r w:rsidRPr="00312AED">
        <w:t xml:space="preserve">, dass freier Wettbewerb nicht durch rechtswidrige oder unlautere Praktiken </w:t>
      </w:r>
      <w:r w:rsidR="00BC7C79">
        <w:t>unterlaufen</w:t>
      </w:r>
      <w:r w:rsidRPr="00312AED">
        <w:t xml:space="preserve"> </w:t>
      </w:r>
      <w:r w:rsidR="005D651F">
        <w:t>werden kann</w:t>
      </w:r>
      <w:r w:rsidRPr="00312AED">
        <w:t>, wie z. B.:</w:t>
      </w:r>
    </w:p>
    <w:p w14:paraId="46318EDC" w14:textId="77777777" w:rsidR="00BC7C79" w:rsidRPr="00312AED" w:rsidRDefault="00BC7C79" w:rsidP="00312AED">
      <w:pPr>
        <w:pStyle w:val="KeinLeerraum"/>
        <w:jc w:val="both"/>
      </w:pPr>
    </w:p>
    <w:p w14:paraId="1AE839A6" w14:textId="41CC34F3" w:rsidR="00BC7C79" w:rsidRDefault="00C8028F" w:rsidP="00312AED">
      <w:pPr>
        <w:pStyle w:val="KeinLeerraum"/>
        <w:numPr>
          <w:ilvl w:val="0"/>
          <w:numId w:val="3"/>
        </w:numPr>
        <w:jc w:val="both"/>
      </w:pPr>
      <w:r w:rsidRPr="00312AED">
        <w:t>systematische Unterbietung</w:t>
      </w:r>
      <w:r w:rsidR="00BC7C79">
        <w:t>/Unterpreisung</w:t>
      </w:r>
      <w:r w:rsidRPr="00312AED">
        <w:t xml:space="preserve"> </w:t>
      </w:r>
      <w:r w:rsidR="00BC7C79">
        <w:t>jenseits</w:t>
      </w:r>
      <w:r w:rsidRPr="00312AED">
        <w:t xml:space="preserve"> der tatsächlichen </w:t>
      </w:r>
      <w:r w:rsidR="00BC7C79">
        <w:t>Betriebskosten (= Dumping)</w:t>
      </w:r>
      <w:r w:rsidRPr="00312AED">
        <w:t>,</w:t>
      </w:r>
      <w:r w:rsidR="00BC7C79">
        <w:t xml:space="preserve"> </w:t>
      </w:r>
    </w:p>
    <w:p w14:paraId="14A64A4E" w14:textId="77777777" w:rsidR="00BC7C79" w:rsidRDefault="00C8028F" w:rsidP="00312AED">
      <w:pPr>
        <w:pStyle w:val="KeinLeerraum"/>
        <w:numPr>
          <w:ilvl w:val="0"/>
          <w:numId w:val="3"/>
        </w:numPr>
        <w:jc w:val="both"/>
      </w:pPr>
      <w:r w:rsidRPr="00312AED">
        <w:t xml:space="preserve">Umgehung arbeitsrechtlicher </w:t>
      </w:r>
      <w:r w:rsidR="00BC7C79">
        <w:t>und/</w:t>
      </w:r>
      <w:r w:rsidRPr="00312AED">
        <w:t xml:space="preserve">oder steuerlicher </w:t>
      </w:r>
      <w:r w:rsidR="00BC7C79">
        <w:t>Verpflichtungen</w:t>
      </w:r>
      <w:r w:rsidRPr="00312AED">
        <w:t>,</w:t>
      </w:r>
      <w:r w:rsidR="00BC7C79">
        <w:t xml:space="preserve"> </w:t>
      </w:r>
    </w:p>
    <w:p w14:paraId="01760A0B" w14:textId="554BD0FE" w:rsidR="00C8028F" w:rsidRPr="00312AED" w:rsidRDefault="00C8028F" w:rsidP="00312AED">
      <w:pPr>
        <w:pStyle w:val="KeinLeerraum"/>
        <w:numPr>
          <w:ilvl w:val="0"/>
          <w:numId w:val="3"/>
        </w:numPr>
        <w:jc w:val="both"/>
      </w:pPr>
      <w:r w:rsidRPr="00312AED">
        <w:t xml:space="preserve">Missachtung </w:t>
      </w:r>
      <w:r w:rsidR="004A2A97">
        <w:t xml:space="preserve">individueller </w:t>
      </w:r>
      <w:r w:rsidRPr="00312AED">
        <w:t>gesetzlicher Vorgaben (z. B. Rückkehrpflicht, Arbeitszeiten</w:t>
      </w:r>
      <w:r w:rsidR="00FE0579">
        <w:t>, Sozialstandards</w:t>
      </w:r>
      <w:r w:rsidR="00BC7C79">
        <w:t xml:space="preserve"> usw.</w:t>
      </w:r>
      <w:r w:rsidRPr="00312AED">
        <w:t>)</w:t>
      </w:r>
    </w:p>
    <w:p w14:paraId="7FA8B8B5" w14:textId="77777777" w:rsidR="00BC7C79" w:rsidRDefault="00BC7C79" w:rsidP="00312AED">
      <w:pPr>
        <w:pStyle w:val="KeinLeerraum"/>
        <w:jc w:val="both"/>
      </w:pPr>
    </w:p>
    <w:p w14:paraId="2EC3E0CB" w14:textId="77777777" w:rsidR="00FE0579" w:rsidRDefault="00FE0579" w:rsidP="00312AED">
      <w:pPr>
        <w:pStyle w:val="KeinLeerraum"/>
        <w:jc w:val="both"/>
      </w:pPr>
    </w:p>
    <w:p w14:paraId="55C0B127" w14:textId="77777777" w:rsidR="00FE0579" w:rsidRDefault="00FE0579" w:rsidP="00312AED">
      <w:pPr>
        <w:pStyle w:val="KeinLeerraum"/>
        <w:jc w:val="both"/>
      </w:pPr>
    </w:p>
    <w:p w14:paraId="5E38B604" w14:textId="77777777" w:rsidR="00FE0579" w:rsidRDefault="00FE0579" w:rsidP="00312AED">
      <w:pPr>
        <w:pStyle w:val="KeinLeerraum"/>
        <w:jc w:val="both"/>
      </w:pPr>
    </w:p>
    <w:p w14:paraId="286BEF7C" w14:textId="5C590599" w:rsidR="00C8028F" w:rsidRPr="00312AED" w:rsidRDefault="00C8028F" w:rsidP="00312AED">
      <w:pPr>
        <w:pStyle w:val="KeinLeerraum"/>
        <w:jc w:val="both"/>
      </w:pPr>
      <w:r w:rsidRPr="00312AED">
        <w:t xml:space="preserve">Mindestbeförderungsentgelte können einen </w:t>
      </w:r>
      <w:r w:rsidR="005D651F">
        <w:t xml:space="preserve">wertvollen </w:t>
      </w:r>
      <w:r w:rsidRPr="00312AED">
        <w:t>Beitrag</w:t>
      </w:r>
      <w:r w:rsidR="00BC7C79">
        <w:t xml:space="preserve"> dazu</w:t>
      </w:r>
      <w:r w:rsidRPr="00312AED">
        <w:t xml:space="preserve"> leisten, solchen </w:t>
      </w:r>
      <w:r w:rsidR="00BC7C79">
        <w:t xml:space="preserve">unerwünschten </w:t>
      </w:r>
      <w:r w:rsidRPr="00312AED">
        <w:t xml:space="preserve">Entwicklungen entgegenzuwirken, ohne den Wettbewerb als solchen </w:t>
      </w:r>
      <w:r w:rsidR="00BC7C79">
        <w:t>zu berühren</w:t>
      </w:r>
      <w:r w:rsidRPr="00312AED">
        <w:t>.</w:t>
      </w:r>
    </w:p>
    <w:p w14:paraId="34DC6B21" w14:textId="77777777" w:rsidR="00BC7C79" w:rsidRDefault="00BC7C79" w:rsidP="00312AED">
      <w:pPr>
        <w:pStyle w:val="KeinLeerraum"/>
        <w:jc w:val="both"/>
      </w:pPr>
    </w:p>
    <w:p w14:paraId="5B8A30DF" w14:textId="0B61AB85" w:rsidR="00C8028F" w:rsidRPr="00BC7C79" w:rsidRDefault="00C8028F" w:rsidP="00312AED">
      <w:pPr>
        <w:pStyle w:val="KeinLeerraum"/>
        <w:jc w:val="both"/>
        <w:rPr>
          <w:b/>
          <w:bCs/>
        </w:rPr>
      </w:pPr>
      <w:r w:rsidRPr="00BC7C79">
        <w:rPr>
          <w:b/>
          <w:bCs/>
        </w:rPr>
        <w:t>Auswirkungen auf den öffentlichen Personennahverkehr</w:t>
      </w:r>
    </w:p>
    <w:p w14:paraId="0BCAA339" w14:textId="77777777" w:rsidR="00312AED" w:rsidRDefault="00312AED" w:rsidP="00312AED">
      <w:pPr>
        <w:pStyle w:val="KeinLeerraum"/>
        <w:jc w:val="both"/>
      </w:pPr>
    </w:p>
    <w:p w14:paraId="4B18E7C4" w14:textId="0B8653CA" w:rsidR="00BC7C79" w:rsidRDefault="00C8028F" w:rsidP="00312AED">
      <w:pPr>
        <w:pStyle w:val="KeinLeerraum"/>
        <w:jc w:val="both"/>
      </w:pPr>
      <w:r w:rsidRPr="00312AED">
        <w:t xml:space="preserve">Ohne Mindestbeförderungsentgelte besteht die Gefahr, dass einzelne unseriöse Mietwagenunternehmer </w:t>
      </w:r>
      <w:r w:rsidR="00BC7C79">
        <w:t xml:space="preserve">(namentlich der großen </w:t>
      </w:r>
      <w:r w:rsidRPr="00312AED">
        <w:t>Vermittlungsplattformen</w:t>
      </w:r>
      <w:r w:rsidR="00BC7C79">
        <w:t xml:space="preserve"> Uber und Bolt)</w:t>
      </w:r>
      <w:r w:rsidRPr="00312AED">
        <w:t xml:space="preserve"> </w:t>
      </w:r>
      <w:r w:rsidR="00BC7C79">
        <w:t xml:space="preserve">Fahrpreise </w:t>
      </w:r>
      <w:r w:rsidRPr="00312AED">
        <w:t xml:space="preserve">anbieten, die unterhalb </w:t>
      </w:r>
      <w:r w:rsidR="0025696F">
        <w:t>der</w:t>
      </w:r>
      <w:r w:rsidRPr="00312AED">
        <w:t xml:space="preserve"> wirtschaftlichen </w:t>
      </w:r>
      <w:r w:rsidR="00351A3D">
        <w:t>Rentabilität</w:t>
      </w:r>
      <w:r w:rsidRPr="00312AED">
        <w:t xml:space="preserve"> liegen. Solche Angebote </w:t>
      </w:r>
      <w:r w:rsidR="00BC7C79">
        <w:t>haben den weiteren Nachteil, dass</w:t>
      </w:r>
      <w:r w:rsidRPr="00312AED">
        <w:t xml:space="preserve"> </w:t>
      </w:r>
      <w:r w:rsidR="004A2A97">
        <w:t>ein Teil der</w:t>
      </w:r>
      <w:r w:rsidRPr="00312AED">
        <w:t xml:space="preserve"> </w:t>
      </w:r>
      <w:r w:rsidR="00BC7C79">
        <w:t>Beförderungsn</w:t>
      </w:r>
      <w:r w:rsidRPr="00312AED">
        <w:t xml:space="preserve">achfrage vom öffentlichen Personennahverkehr (z. B. Linienbusse) </w:t>
      </w:r>
      <w:r w:rsidR="00BC7C79">
        <w:t>abgezogen wird</w:t>
      </w:r>
      <w:r w:rsidRPr="00312AED">
        <w:t>, ohne</w:t>
      </w:r>
      <w:r w:rsidR="00BC7C79">
        <w:t>, dass</w:t>
      </w:r>
      <w:r w:rsidRPr="00312AED">
        <w:t xml:space="preserve"> dessen strukturelle Aufgaben, Taktbindungen</w:t>
      </w:r>
      <w:r w:rsidR="00BC7C79">
        <w:t xml:space="preserve">, </w:t>
      </w:r>
      <w:r w:rsidRPr="00312AED">
        <w:t xml:space="preserve">Vorhalteleistungen </w:t>
      </w:r>
      <w:r w:rsidR="00BC7C79">
        <w:t xml:space="preserve">usw. </w:t>
      </w:r>
      <w:r w:rsidR="004A2A97">
        <w:t>Berücksichtigung finden.</w:t>
      </w:r>
      <w:r w:rsidR="00BC7C79">
        <w:t xml:space="preserve"> </w:t>
      </w:r>
    </w:p>
    <w:p w14:paraId="6EF6970C" w14:textId="77777777" w:rsidR="00BC7C79" w:rsidRDefault="00BC7C79" w:rsidP="00312AED">
      <w:pPr>
        <w:pStyle w:val="KeinLeerraum"/>
        <w:jc w:val="both"/>
      </w:pPr>
    </w:p>
    <w:p w14:paraId="5F81C8B5" w14:textId="71837FED" w:rsidR="00C8028F" w:rsidRPr="00312AED" w:rsidRDefault="00C8028F" w:rsidP="00312AED">
      <w:pPr>
        <w:pStyle w:val="KeinLeerraum"/>
        <w:jc w:val="both"/>
      </w:pPr>
      <w:r w:rsidRPr="00312AED">
        <w:t xml:space="preserve">Dies </w:t>
      </w:r>
      <w:r w:rsidR="00BC7C79">
        <w:t>führt</w:t>
      </w:r>
      <w:r w:rsidRPr="00312AED">
        <w:t xml:space="preserve"> mittel- bis langfristig zu einer Schwächung bestehender Verkehrsangebote </w:t>
      </w:r>
      <w:r w:rsidR="004A2A97">
        <w:t>im Bereich des</w:t>
      </w:r>
      <w:r w:rsidR="00BC7C79">
        <w:t xml:space="preserve"> ÖPNV </w:t>
      </w:r>
      <w:r w:rsidRPr="00312AED">
        <w:t xml:space="preserve">und steht aus Sicht </w:t>
      </w:r>
      <w:r w:rsidR="005D651F">
        <w:t>von</w:t>
      </w:r>
      <w:r w:rsidR="00BC7C79">
        <w:t xml:space="preserve"> Verkehrsexperten</w:t>
      </w:r>
      <w:r w:rsidR="00FE0579">
        <w:t xml:space="preserve"> erkennbar</w:t>
      </w:r>
      <w:r w:rsidRPr="00312AED">
        <w:t xml:space="preserve"> im Widerspruch zu </w:t>
      </w:r>
      <w:r w:rsidR="00BC7C79">
        <w:t xml:space="preserve">den </w:t>
      </w:r>
      <w:r w:rsidRPr="00312AED">
        <w:t>verkehrs- und klimapolitischen Zielen der Kommunen.</w:t>
      </w:r>
    </w:p>
    <w:p w14:paraId="104596B6" w14:textId="77777777" w:rsidR="00312AED" w:rsidRDefault="00312AED" w:rsidP="00312AED">
      <w:pPr>
        <w:pStyle w:val="KeinLeerraum"/>
        <w:jc w:val="both"/>
      </w:pPr>
    </w:p>
    <w:p w14:paraId="6CBA1B10" w14:textId="77E466B8" w:rsidR="00C8028F" w:rsidRPr="005D651F" w:rsidRDefault="00C8028F" w:rsidP="00312AED">
      <w:pPr>
        <w:pStyle w:val="KeinLeerraum"/>
        <w:jc w:val="both"/>
        <w:rPr>
          <w:b/>
          <w:bCs/>
        </w:rPr>
      </w:pPr>
      <w:r w:rsidRPr="005D651F">
        <w:rPr>
          <w:b/>
          <w:bCs/>
        </w:rPr>
        <w:t>Aspekte für die politische Abwägung (nicht abschließend)</w:t>
      </w:r>
    </w:p>
    <w:p w14:paraId="53E78E81" w14:textId="77777777" w:rsidR="005D651F" w:rsidRDefault="005D651F" w:rsidP="00312AED">
      <w:pPr>
        <w:pStyle w:val="KeinLeerraum"/>
        <w:jc w:val="both"/>
      </w:pPr>
    </w:p>
    <w:p w14:paraId="552233A9" w14:textId="203BD49F" w:rsidR="005D651F" w:rsidRDefault="00C8028F" w:rsidP="00312AED">
      <w:pPr>
        <w:pStyle w:val="KeinLeerraum"/>
        <w:numPr>
          <w:ilvl w:val="0"/>
          <w:numId w:val="4"/>
        </w:numPr>
        <w:jc w:val="both"/>
      </w:pPr>
      <w:r w:rsidRPr="00312AED">
        <w:t>Sicherung fairer Wettbewerbsbedingungen zwischen</w:t>
      </w:r>
      <w:r w:rsidR="00FE0579">
        <w:t xml:space="preserve"> den</w:t>
      </w:r>
      <w:r w:rsidRPr="00312AED">
        <w:t xml:space="preserve"> Verkehrsformen und innerhalb des Mietwagenmarktes</w:t>
      </w:r>
    </w:p>
    <w:p w14:paraId="6C8B442C" w14:textId="3DC9ECD1" w:rsidR="005D651F" w:rsidRDefault="00C8028F" w:rsidP="00312AED">
      <w:pPr>
        <w:pStyle w:val="KeinLeerraum"/>
        <w:numPr>
          <w:ilvl w:val="0"/>
          <w:numId w:val="4"/>
        </w:numPr>
        <w:jc w:val="both"/>
      </w:pPr>
      <w:r w:rsidRPr="00312AED">
        <w:t>Schutz vor ruinösem Preiswettbewerb</w:t>
      </w:r>
      <w:r w:rsidR="005D651F">
        <w:t>, Marktverzerrung</w:t>
      </w:r>
      <w:r w:rsidRPr="00312AED">
        <w:t xml:space="preserve"> und Marktverdrängung</w:t>
      </w:r>
    </w:p>
    <w:p w14:paraId="4D702A6E" w14:textId="3B2E3C9A" w:rsidR="005D651F" w:rsidRDefault="00C8028F" w:rsidP="00312AED">
      <w:pPr>
        <w:pStyle w:val="KeinLeerraum"/>
        <w:numPr>
          <w:ilvl w:val="0"/>
          <w:numId w:val="4"/>
        </w:numPr>
        <w:jc w:val="both"/>
      </w:pPr>
      <w:r w:rsidRPr="00312AED">
        <w:t xml:space="preserve">Einhaltung arbeitsrechtlicher, verkehrsrechtlicher </w:t>
      </w:r>
      <w:r w:rsidR="004A2A97">
        <w:t xml:space="preserve">und anderer </w:t>
      </w:r>
      <w:r w:rsidRPr="00312AED">
        <w:t>Vorgaben</w:t>
      </w:r>
    </w:p>
    <w:p w14:paraId="2BCDF0DF" w14:textId="08EACFBC" w:rsidR="004A2A97" w:rsidRDefault="004A2A97" w:rsidP="00312AED">
      <w:pPr>
        <w:pStyle w:val="KeinLeerraum"/>
        <w:numPr>
          <w:ilvl w:val="0"/>
          <w:numId w:val="4"/>
        </w:numPr>
        <w:jc w:val="both"/>
      </w:pPr>
      <w:r>
        <w:t>Sicherstellung des Steuer- und Abgabenaufkommens der fraglichen Unternehmen</w:t>
      </w:r>
    </w:p>
    <w:p w14:paraId="2AC46204" w14:textId="49660F8B" w:rsidR="005D651F" w:rsidRDefault="00C8028F" w:rsidP="00312AED">
      <w:pPr>
        <w:pStyle w:val="KeinLeerraum"/>
        <w:numPr>
          <w:ilvl w:val="0"/>
          <w:numId w:val="4"/>
        </w:numPr>
        <w:jc w:val="both"/>
      </w:pPr>
      <w:r w:rsidRPr="00312AED">
        <w:t xml:space="preserve">Verlässlichkeit, Qualität und Sicherheit des </w:t>
      </w:r>
      <w:r w:rsidR="005D651F">
        <w:t xml:space="preserve">öffentlichen </w:t>
      </w:r>
      <w:r w:rsidRPr="00312AED">
        <w:t>Mobilitätsangebots</w:t>
      </w:r>
    </w:p>
    <w:p w14:paraId="023E35DA" w14:textId="27D82181" w:rsidR="005D651F" w:rsidRDefault="00C8028F" w:rsidP="00312AED">
      <w:pPr>
        <w:pStyle w:val="KeinLeerraum"/>
        <w:numPr>
          <w:ilvl w:val="0"/>
          <w:numId w:val="4"/>
        </w:numPr>
        <w:jc w:val="both"/>
      </w:pPr>
      <w:r w:rsidRPr="00312AED">
        <w:t>Schutz und Ergänzung des öffentlichen Personennahverkehrs</w:t>
      </w:r>
    </w:p>
    <w:p w14:paraId="52162821" w14:textId="027B220D" w:rsidR="005D651F" w:rsidRDefault="00C8028F" w:rsidP="00312AED">
      <w:pPr>
        <w:pStyle w:val="KeinLeerraum"/>
        <w:numPr>
          <w:ilvl w:val="0"/>
          <w:numId w:val="4"/>
        </w:numPr>
        <w:jc w:val="both"/>
      </w:pPr>
      <w:r w:rsidRPr="00312AED">
        <w:t xml:space="preserve">Transparenz </w:t>
      </w:r>
      <w:r w:rsidR="002069DF">
        <w:t xml:space="preserve">und Verbraucherschutz für Kunden </w:t>
      </w:r>
    </w:p>
    <w:p w14:paraId="2DA00003" w14:textId="34F8AB5A" w:rsidR="00C8028F" w:rsidRPr="00312AED" w:rsidRDefault="005D651F" w:rsidP="00312AED">
      <w:pPr>
        <w:pStyle w:val="KeinLeerraum"/>
        <w:numPr>
          <w:ilvl w:val="0"/>
          <w:numId w:val="4"/>
        </w:numPr>
        <w:jc w:val="both"/>
      </w:pPr>
      <w:r>
        <w:t>Sinnvolle tarifliche Regelung</w:t>
      </w:r>
      <w:r w:rsidR="00C8028F" w:rsidRPr="00312AED">
        <w:t xml:space="preserve"> zwischen Marktaufsicht und ordnungspolitischer Verantwortung</w:t>
      </w:r>
    </w:p>
    <w:p w14:paraId="3B486279" w14:textId="77777777" w:rsidR="005D651F" w:rsidRDefault="005D651F" w:rsidP="00312AED">
      <w:pPr>
        <w:pStyle w:val="KeinLeerraum"/>
        <w:jc w:val="both"/>
      </w:pPr>
    </w:p>
    <w:p w14:paraId="0171C055" w14:textId="77777777" w:rsidR="005D651F" w:rsidRDefault="00C8028F" w:rsidP="00312AED">
      <w:pPr>
        <w:pStyle w:val="KeinLeerraum"/>
        <w:jc w:val="both"/>
      </w:pPr>
      <w:r w:rsidRPr="00312AED">
        <w:t xml:space="preserve">Hinweis: Die dargestellten </w:t>
      </w:r>
      <w:r w:rsidR="005D651F">
        <w:t>Aspekte</w:t>
      </w:r>
      <w:r w:rsidRPr="00312AED">
        <w:t xml:space="preserve"> dienen der Orientierung und ersetzen keine eigene politische Bewertung. </w:t>
      </w:r>
    </w:p>
    <w:p w14:paraId="17136438" w14:textId="77777777" w:rsidR="005D651F" w:rsidRDefault="005D651F" w:rsidP="00312AED">
      <w:pPr>
        <w:pStyle w:val="KeinLeerraum"/>
        <w:jc w:val="both"/>
      </w:pPr>
    </w:p>
    <w:p w14:paraId="6E2D4908" w14:textId="2D7B3E6C" w:rsidR="00C8028F" w:rsidRPr="00312AED" w:rsidRDefault="00C8028F" w:rsidP="00312AED">
      <w:pPr>
        <w:pStyle w:val="KeinLeerraum"/>
        <w:jc w:val="both"/>
      </w:pPr>
      <w:r w:rsidRPr="00312AED">
        <w:t xml:space="preserve">Die </w:t>
      </w:r>
      <w:r w:rsidR="005D651F">
        <w:t xml:space="preserve">angefragten </w:t>
      </w:r>
      <w:r w:rsidRPr="00312AED">
        <w:t>Parteien sind eingeladen</w:t>
      </w:r>
      <w:r w:rsidR="005D651F">
        <w:t xml:space="preserve"> und aufgefordert</w:t>
      </w:r>
      <w:r w:rsidRPr="00312AED">
        <w:t xml:space="preserve">, ihre Haltung und </w:t>
      </w:r>
      <w:r w:rsidR="005D651F">
        <w:t>Priorisierung zur Frage der Mindestbeförderungsentgelte</w:t>
      </w:r>
      <w:r w:rsidRPr="00312AED">
        <w:t xml:space="preserve"> eigenständig darzustellen.</w:t>
      </w:r>
    </w:p>
    <w:p w14:paraId="08DE05D7" w14:textId="77777777" w:rsidR="00944398" w:rsidRPr="00312AED" w:rsidRDefault="00944398" w:rsidP="00312AED">
      <w:pPr>
        <w:pStyle w:val="KeinLeerraum"/>
        <w:jc w:val="both"/>
      </w:pPr>
    </w:p>
    <w:sectPr w:rsidR="00944398" w:rsidRPr="00312AED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0B750" w14:textId="77777777" w:rsidR="00D32882" w:rsidRDefault="00D32882" w:rsidP="005D651F">
      <w:pPr>
        <w:spacing w:after="0" w:line="240" w:lineRule="auto"/>
      </w:pPr>
      <w:r>
        <w:separator/>
      </w:r>
    </w:p>
  </w:endnote>
  <w:endnote w:type="continuationSeparator" w:id="0">
    <w:p w14:paraId="116F91FD" w14:textId="77777777" w:rsidR="00D32882" w:rsidRDefault="00D32882" w:rsidP="005D6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761429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C430C2C" w14:textId="710F85B9" w:rsidR="005D651F" w:rsidRPr="005D651F" w:rsidRDefault="005D651F">
            <w:pPr>
              <w:pStyle w:val="Fuzeile"/>
              <w:jc w:val="right"/>
            </w:pPr>
            <w:r w:rsidRPr="005D651F">
              <w:t xml:space="preserve">Seite </w:t>
            </w:r>
            <w:r w:rsidRPr="005D651F">
              <w:fldChar w:fldCharType="begin"/>
            </w:r>
            <w:r w:rsidRPr="005D651F">
              <w:instrText>PAGE</w:instrText>
            </w:r>
            <w:r w:rsidRPr="005D651F">
              <w:fldChar w:fldCharType="separate"/>
            </w:r>
            <w:r w:rsidRPr="005D651F">
              <w:t>2</w:t>
            </w:r>
            <w:r w:rsidRPr="005D651F">
              <w:fldChar w:fldCharType="end"/>
            </w:r>
            <w:r w:rsidRPr="005D651F">
              <w:t xml:space="preserve"> von </w:t>
            </w:r>
            <w:r w:rsidRPr="005D651F">
              <w:fldChar w:fldCharType="begin"/>
            </w:r>
            <w:r w:rsidRPr="005D651F">
              <w:instrText>NUMPAGES</w:instrText>
            </w:r>
            <w:r w:rsidRPr="005D651F">
              <w:fldChar w:fldCharType="separate"/>
            </w:r>
            <w:r w:rsidRPr="005D651F">
              <w:t>2</w:t>
            </w:r>
            <w:r w:rsidRPr="005D651F">
              <w:fldChar w:fldCharType="end"/>
            </w:r>
          </w:p>
        </w:sdtContent>
      </w:sdt>
    </w:sdtContent>
  </w:sdt>
  <w:p w14:paraId="406BB823" w14:textId="77777777" w:rsidR="005D651F" w:rsidRDefault="005D651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7EDE4" w14:textId="77777777" w:rsidR="00D32882" w:rsidRDefault="00D32882" w:rsidP="005D651F">
      <w:pPr>
        <w:spacing w:after="0" w:line="240" w:lineRule="auto"/>
      </w:pPr>
      <w:r>
        <w:separator/>
      </w:r>
    </w:p>
  </w:footnote>
  <w:footnote w:type="continuationSeparator" w:id="0">
    <w:p w14:paraId="40694566" w14:textId="77777777" w:rsidR="00D32882" w:rsidRDefault="00D32882" w:rsidP="005D65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1A038" w14:textId="59CB15E9" w:rsidR="002069DF" w:rsidRPr="002069DF" w:rsidRDefault="002069DF">
    <w:pPr>
      <w:pStyle w:val="Kopfzeile"/>
      <w:rPr>
        <w:color w:val="EE0000"/>
      </w:rPr>
    </w:pPr>
    <w:r w:rsidRPr="002069DF">
      <w:rPr>
        <w:color w:val="EE0000"/>
      </w:rPr>
      <w:t>Firmenbezeichnung und Logo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66C76"/>
    <w:multiLevelType w:val="hybridMultilevel"/>
    <w:tmpl w:val="58122C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A355EF"/>
    <w:multiLevelType w:val="hybridMultilevel"/>
    <w:tmpl w:val="C5A02E50"/>
    <w:lvl w:ilvl="0" w:tplc="0407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4E281362"/>
    <w:multiLevelType w:val="hybridMultilevel"/>
    <w:tmpl w:val="A378A5DC"/>
    <w:lvl w:ilvl="0" w:tplc="7646DB00">
      <w:start w:val="1"/>
      <w:numFmt w:val="decimal"/>
      <w:lvlText w:val="%1."/>
      <w:lvlJc w:val="left"/>
      <w:pPr>
        <w:ind w:left="274" w:hanging="267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de-DE" w:eastAsia="en-US" w:bidi="ar-SA"/>
      </w:rPr>
    </w:lvl>
    <w:lvl w:ilvl="1" w:tplc="2866536C">
      <w:numFmt w:val="bullet"/>
      <w:lvlText w:val="–"/>
      <w:lvlJc w:val="left"/>
      <w:pPr>
        <w:ind w:left="174" w:hanging="16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de-DE" w:eastAsia="en-US" w:bidi="ar-SA"/>
      </w:rPr>
    </w:lvl>
    <w:lvl w:ilvl="2" w:tplc="B276E280">
      <w:numFmt w:val="bullet"/>
      <w:lvlText w:val="•"/>
      <w:lvlJc w:val="left"/>
      <w:pPr>
        <w:ind w:left="1319" w:hanging="167"/>
      </w:pPr>
      <w:rPr>
        <w:lang w:val="de-DE" w:eastAsia="en-US" w:bidi="ar-SA"/>
      </w:rPr>
    </w:lvl>
    <w:lvl w:ilvl="3" w:tplc="CB6EFA92">
      <w:numFmt w:val="bullet"/>
      <w:lvlText w:val="•"/>
      <w:lvlJc w:val="left"/>
      <w:pPr>
        <w:ind w:left="2359" w:hanging="167"/>
      </w:pPr>
      <w:rPr>
        <w:lang w:val="de-DE" w:eastAsia="en-US" w:bidi="ar-SA"/>
      </w:rPr>
    </w:lvl>
    <w:lvl w:ilvl="4" w:tplc="7F3CA310">
      <w:numFmt w:val="bullet"/>
      <w:lvlText w:val="•"/>
      <w:lvlJc w:val="left"/>
      <w:pPr>
        <w:ind w:left="3399" w:hanging="167"/>
      </w:pPr>
      <w:rPr>
        <w:lang w:val="de-DE" w:eastAsia="en-US" w:bidi="ar-SA"/>
      </w:rPr>
    </w:lvl>
    <w:lvl w:ilvl="5" w:tplc="08DAD66C">
      <w:numFmt w:val="bullet"/>
      <w:lvlText w:val="•"/>
      <w:lvlJc w:val="left"/>
      <w:pPr>
        <w:ind w:left="4439" w:hanging="167"/>
      </w:pPr>
      <w:rPr>
        <w:lang w:val="de-DE" w:eastAsia="en-US" w:bidi="ar-SA"/>
      </w:rPr>
    </w:lvl>
    <w:lvl w:ilvl="6" w:tplc="7D28F764">
      <w:numFmt w:val="bullet"/>
      <w:lvlText w:val="•"/>
      <w:lvlJc w:val="left"/>
      <w:pPr>
        <w:ind w:left="5479" w:hanging="167"/>
      </w:pPr>
      <w:rPr>
        <w:lang w:val="de-DE" w:eastAsia="en-US" w:bidi="ar-SA"/>
      </w:rPr>
    </w:lvl>
    <w:lvl w:ilvl="7" w:tplc="6FE29E48">
      <w:numFmt w:val="bullet"/>
      <w:lvlText w:val="•"/>
      <w:lvlJc w:val="left"/>
      <w:pPr>
        <w:ind w:left="6519" w:hanging="167"/>
      </w:pPr>
      <w:rPr>
        <w:lang w:val="de-DE" w:eastAsia="en-US" w:bidi="ar-SA"/>
      </w:rPr>
    </w:lvl>
    <w:lvl w:ilvl="8" w:tplc="CC40605E">
      <w:numFmt w:val="bullet"/>
      <w:lvlText w:val="•"/>
      <w:lvlJc w:val="left"/>
      <w:pPr>
        <w:ind w:left="7559" w:hanging="167"/>
      </w:pPr>
      <w:rPr>
        <w:lang w:val="de-DE" w:eastAsia="en-US" w:bidi="ar-SA"/>
      </w:rPr>
    </w:lvl>
  </w:abstractNum>
  <w:abstractNum w:abstractNumId="3" w15:restartNumberingAfterBreak="0">
    <w:nsid w:val="6C2D3905"/>
    <w:multiLevelType w:val="hybridMultilevel"/>
    <w:tmpl w:val="473C2524"/>
    <w:lvl w:ilvl="0" w:tplc="621E79C4">
      <w:numFmt w:val="bullet"/>
      <w:lvlText w:val="•"/>
      <w:lvlJc w:val="left"/>
      <w:pPr>
        <w:ind w:left="7" w:hanging="12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de-DE" w:eastAsia="en-US" w:bidi="ar-SA"/>
      </w:rPr>
    </w:lvl>
    <w:lvl w:ilvl="1" w:tplc="F9B65B56">
      <w:numFmt w:val="bullet"/>
      <w:lvlText w:val="•"/>
      <w:lvlJc w:val="left"/>
      <w:pPr>
        <w:ind w:left="963" w:hanging="126"/>
      </w:pPr>
      <w:rPr>
        <w:lang w:val="de-DE" w:eastAsia="en-US" w:bidi="ar-SA"/>
      </w:rPr>
    </w:lvl>
    <w:lvl w:ilvl="2" w:tplc="778CA670">
      <w:numFmt w:val="bullet"/>
      <w:lvlText w:val="•"/>
      <w:lvlJc w:val="left"/>
      <w:pPr>
        <w:ind w:left="1927" w:hanging="126"/>
      </w:pPr>
      <w:rPr>
        <w:lang w:val="de-DE" w:eastAsia="en-US" w:bidi="ar-SA"/>
      </w:rPr>
    </w:lvl>
    <w:lvl w:ilvl="3" w:tplc="A588E1FE">
      <w:numFmt w:val="bullet"/>
      <w:lvlText w:val="•"/>
      <w:lvlJc w:val="left"/>
      <w:pPr>
        <w:ind w:left="2891" w:hanging="126"/>
      </w:pPr>
      <w:rPr>
        <w:lang w:val="de-DE" w:eastAsia="en-US" w:bidi="ar-SA"/>
      </w:rPr>
    </w:lvl>
    <w:lvl w:ilvl="4" w:tplc="8B141E9A">
      <w:numFmt w:val="bullet"/>
      <w:lvlText w:val="•"/>
      <w:lvlJc w:val="left"/>
      <w:pPr>
        <w:ind w:left="3855" w:hanging="126"/>
      </w:pPr>
      <w:rPr>
        <w:lang w:val="de-DE" w:eastAsia="en-US" w:bidi="ar-SA"/>
      </w:rPr>
    </w:lvl>
    <w:lvl w:ilvl="5" w:tplc="3E363088">
      <w:numFmt w:val="bullet"/>
      <w:lvlText w:val="•"/>
      <w:lvlJc w:val="left"/>
      <w:pPr>
        <w:ind w:left="4819" w:hanging="126"/>
      </w:pPr>
      <w:rPr>
        <w:lang w:val="de-DE" w:eastAsia="en-US" w:bidi="ar-SA"/>
      </w:rPr>
    </w:lvl>
    <w:lvl w:ilvl="6" w:tplc="4E1E53E2">
      <w:numFmt w:val="bullet"/>
      <w:lvlText w:val="•"/>
      <w:lvlJc w:val="left"/>
      <w:pPr>
        <w:ind w:left="5783" w:hanging="126"/>
      </w:pPr>
      <w:rPr>
        <w:lang w:val="de-DE" w:eastAsia="en-US" w:bidi="ar-SA"/>
      </w:rPr>
    </w:lvl>
    <w:lvl w:ilvl="7" w:tplc="78C6C068">
      <w:numFmt w:val="bullet"/>
      <w:lvlText w:val="•"/>
      <w:lvlJc w:val="left"/>
      <w:pPr>
        <w:ind w:left="6747" w:hanging="126"/>
      </w:pPr>
      <w:rPr>
        <w:lang w:val="de-DE" w:eastAsia="en-US" w:bidi="ar-SA"/>
      </w:rPr>
    </w:lvl>
    <w:lvl w:ilvl="8" w:tplc="05863772">
      <w:numFmt w:val="bullet"/>
      <w:lvlText w:val="•"/>
      <w:lvlJc w:val="left"/>
      <w:pPr>
        <w:ind w:left="7711" w:hanging="126"/>
      </w:pPr>
      <w:rPr>
        <w:lang w:val="de-DE" w:eastAsia="en-US" w:bidi="ar-SA"/>
      </w:rPr>
    </w:lvl>
  </w:abstractNum>
  <w:abstractNum w:abstractNumId="4" w15:restartNumberingAfterBreak="0">
    <w:nsid w:val="7B3B5B09"/>
    <w:multiLevelType w:val="hybridMultilevel"/>
    <w:tmpl w:val="6074D8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476638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617297973">
    <w:abstractNumId w:val="3"/>
  </w:num>
  <w:num w:numId="3" w16cid:durableId="2026636662">
    <w:abstractNumId w:val="1"/>
  </w:num>
  <w:num w:numId="4" w16cid:durableId="708529740">
    <w:abstractNumId w:val="4"/>
  </w:num>
  <w:num w:numId="5" w16cid:durableId="1589340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28F"/>
    <w:rsid w:val="002069DF"/>
    <w:rsid w:val="0025696F"/>
    <w:rsid w:val="00312AED"/>
    <w:rsid w:val="00351A3D"/>
    <w:rsid w:val="00372D00"/>
    <w:rsid w:val="004A2A97"/>
    <w:rsid w:val="005D651F"/>
    <w:rsid w:val="00790AFD"/>
    <w:rsid w:val="008D22ED"/>
    <w:rsid w:val="00935A77"/>
    <w:rsid w:val="00944398"/>
    <w:rsid w:val="00BC7C79"/>
    <w:rsid w:val="00C8028F"/>
    <w:rsid w:val="00D32882"/>
    <w:rsid w:val="00FE0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C2AA08"/>
  <w15:chartTrackingRefBased/>
  <w15:docId w15:val="{35018AA4-7C88-4076-AC23-31DCF12A3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802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802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802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802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802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802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802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802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802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802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802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802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8028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8028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8028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8028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8028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8028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802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802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802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802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802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8028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8028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8028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802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8028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8028F"/>
    <w:rPr>
      <w:b/>
      <w:bCs/>
      <w:smallCaps/>
      <w:color w:val="0F4761" w:themeColor="accent1" w:themeShade="BF"/>
      <w:spacing w:val="5"/>
    </w:rPr>
  </w:style>
  <w:style w:type="paragraph" w:styleId="KeinLeerraum">
    <w:name w:val="No Spacing"/>
    <w:uiPriority w:val="1"/>
    <w:qFormat/>
    <w:rsid w:val="00312AED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5D65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D651F"/>
  </w:style>
  <w:style w:type="paragraph" w:styleId="Fuzeile">
    <w:name w:val="footer"/>
    <w:basedOn w:val="Standard"/>
    <w:link w:val="FuzeileZchn"/>
    <w:uiPriority w:val="99"/>
    <w:unhideWhenUsed/>
    <w:rsid w:val="005D65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D65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3544</Characters>
  <Application>Microsoft Office Word</Application>
  <DocSecurity>0</DocSecurity>
  <Lines>70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Linz</dc:creator>
  <cp:keywords/>
  <dc:description/>
  <cp:lastModifiedBy>Christian Linz</cp:lastModifiedBy>
  <cp:revision>4</cp:revision>
  <dcterms:created xsi:type="dcterms:W3CDTF">2026-02-10T16:09:00Z</dcterms:created>
  <dcterms:modified xsi:type="dcterms:W3CDTF">2026-02-14T09:28:00Z</dcterms:modified>
</cp:coreProperties>
</file>